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F0" w:rsidRDefault="005241F0" w:rsidP="005241F0">
      <w:pPr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color w:val="B20A21"/>
          <w:kern w:val="36"/>
          <w:sz w:val="28"/>
          <w:szCs w:val="28"/>
          <w:lang w:eastAsia="ru-RU"/>
        </w:rPr>
      </w:pPr>
    </w:p>
    <w:p w:rsidR="005241F0" w:rsidRPr="000E4971" w:rsidRDefault="005241F0" w:rsidP="005241F0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B20A21"/>
          <w:kern w:val="36"/>
          <w:sz w:val="56"/>
          <w:szCs w:val="56"/>
          <w:lang w:eastAsia="ru-RU"/>
        </w:rPr>
      </w:pPr>
      <w:r w:rsidRPr="000E4971">
        <w:rPr>
          <w:rFonts w:ascii="Times New Roman" w:eastAsia="Times New Roman" w:hAnsi="Times New Roman" w:cs="Times New Roman"/>
          <w:b/>
          <w:bCs/>
          <w:color w:val="B20A21"/>
          <w:kern w:val="36"/>
          <w:sz w:val="56"/>
          <w:szCs w:val="56"/>
          <w:lang w:eastAsia="ru-RU"/>
        </w:rPr>
        <w:t>Словарик пешехода</w:t>
      </w:r>
    </w:p>
    <w:p w:rsidR="005241F0" w:rsidRPr="000E4971" w:rsidRDefault="005241F0" w:rsidP="000E49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B20A21"/>
          <w:kern w:val="36"/>
          <w:sz w:val="56"/>
          <w:szCs w:val="56"/>
          <w:lang w:eastAsia="ru-RU"/>
        </w:rPr>
      </w:pPr>
      <w:bookmarkStart w:id="0" w:name="_GoBack"/>
      <w:bookmarkEnd w:id="0"/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Дорога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обустроенная или приспособленная и используемая для движения транспортных средств полоса земли,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Прилегающая территория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территория, непосредственно прилегающая к дороге и предназначенная для сквозного движения транспортных средств (дворы, жилые массивы, автостоянки, АЗС, предприятия и т. д.).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Тротуа</w:t>
      </w:r>
      <w:proofErr w:type="gramStart"/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>–</w:t>
      </w:r>
      <w:proofErr w:type="gramEnd"/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элемент дороги, предназначенный для движения пешеходов и примыкающий к проезжей части или отделенный от нее газоном.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Транспортное средство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устройство, предназначенное для перевозки по дорогам людей, грузов и оборудования, установленного на нем.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Маршрутное транспортное средство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транспортное средство общего пользования (автобус, троллейбус, трамвай), предназначенное для перевозки по дорогам людей (пассажиров) и движущееся по установленному маршруту с обозначенными остановочными пунктами (остановками).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Механическое транспортное средство –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транспортное средство, кроме мопеда, приводимое в движение двигателем. Термин распространяется также на любые тракторы и самоходные машины.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Участник дорожного движения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Водитель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proofErr w:type="gramStart"/>
      <w:r w:rsidRPr="005241F0">
        <w:rPr>
          <w:rFonts w:ascii="Tahoma" w:eastAsia="Times New Roman" w:hAnsi="Tahoma" w:cs="Tahoma"/>
          <w:sz w:val="28"/>
          <w:szCs w:val="28"/>
          <w:lang w:eastAsia="ru-RU"/>
        </w:rPr>
        <w:t>обучающий</w:t>
      </w:r>
      <w:proofErr w:type="gramEnd"/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вождению.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Пешеход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лицо, находящееся вне транспортного средства на дороге  и не производящее на ней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коляски.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Пешеходный переход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участок проезжей части, обозначенный специальными знаками и (или) разметкой и выделенный для движения пешеходов через дорогу. При отсутствии разметки ширина пешеходного перехода определяется расстоянием между знаками.</w:t>
      </w:r>
    </w:p>
    <w:p w:rsidR="005241F0" w:rsidRPr="005241F0" w:rsidRDefault="005241F0" w:rsidP="005241F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33" w:rsidRDefault="00BC4F33"/>
    <w:sectPr w:rsidR="00BC4F33" w:rsidSect="00032EC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33"/>
    <w:rsid w:val="000E4971"/>
    <w:rsid w:val="005241F0"/>
    <w:rsid w:val="00B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БМВ</dc:creator>
  <cp:keywords/>
  <dc:description/>
  <cp:lastModifiedBy>БМВ</cp:lastModifiedBy>
  <cp:revision>3</cp:revision>
  <dcterms:created xsi:type="dcterms:W3CDTF">2022-09-27T07:31:00Z</dcterms:created>
  <dcterms:modified xsi:type="dcterms:W3CDTF">2022-11-18T02:17:00Z</dcterms:modified>
</cp:coreProperties>
</file>